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2BB84" w14:textId="7E531D07" w:rsidR="00C23D05" w:rsidRDefault="00C23D05" w:rsidP="00C23D05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3GPP TSG-RAN WG4 Meeting #113</w:t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</w: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ab/>
        <w:t>R4-241</w:t>
      </w:r>
      <w:r w:rsidR="00DE389D" w:rsidRPr="00DE389D"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762</w:t>
      </w:r>
      <w:r w:rsidR="00DE389D">
        <w:rPr>
          <w:rFonts w:eastAsiaTheme="minorEastAsia" w:cs="Arial" w:hint="eastAsia"/>
          <w:bCs/>
          <w:color w:val="000000"/>
          <w:sz w:val="24"/>
          <w:szCs w:val="24"/>
          <w:lang w:val="en-US" w:eastAsia="zh-TW"/>
        </w:rPr>
        <w:t>6</w:t>
      </w:r>
    </w:p>
    <w:p w14:paraId="6BE06E06" w14:textId="77777777" w:rsidR="00C23D05" w:rsidRDefault="00C23D05" w:rsidP="00C23D05">
      <w:pPr>
        <w:pStyle w:val="Header"/>
        <w:rPr>
          <w:rFonts w:eastAsiaTheme="minorEastAsia" w:cs="Arial"/>
          <w:bCs/>
          <w:color w:val="000000"/>
          <w:sz w:val="24"/>
          <w:szCs w:val="24"/>
          <w:lang w:val="en-US" w:eastAsia="zh-CN"/>
        </w:rPr>
      </w:pPr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Orlando, US, 18th – 22nd </w:t>
      </w:r>
      <w:proofErr w:type="gramStart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>November,</w:t>
      </w:r>
      <w:proofErr w:type="gramEnd"/>
      <w:r>
        <w:rPr>
          <w:rFonts w:eastAsiaTheme="minorEastAsia" w:cs="Arial"/>
          <w:bCs/>
          <w:color w:val="000000"/>
          <w:sz w:val="24"/>
          <w:szCs w:val="24"/>
          <w:lang w:val="en-US" w:eastAsia="zh-CN"/>
        </w:rPr>
        <w:t xml:space="preserve"> 2024</w:t>
      </w:r>
    </w:p>
    <w:p w14:paraId="159F635F" w14:textId="77777777" w:rsidR="00802E82" w:rsidRPr="00C23D05" w:rsidRDefault="00802E82" w:rsidP="00802E82">
      <w:pPr>
        <w:pStyle w:val="Header"/>
        <w:rPr>
          <w:rFonts w:cs="Arial"/>
          <w:bCs/>
          <w:sz w:val="24"/>
          <w:lang w:val="en-US" w:eastAsia="ja-JP"/>
        </w:rPr>
      </w:pPr>
    </w:p>
    <w:p w14:paraId="1EB3FFDE" w14:textId="5F4FC46F" w:rsidR="00802E82" w:rsidRDefault="00802E82" w:rsidP="00802E8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 w:rsidR="00C23D05">
        <w:rPr>
          <w:rFonts w:eastAsia="SimSun"/>
          <w:lang w:eastAsia="zh-CN"/>
        </w:rPr>
        <w:t>7</w:t>
      </w:r>
      <w:r w:rsidR="00C80E42" w:rsidRPr="00C80E42">
        <w:rPr>
          <w:rFonts w:eastAsia="SimSun" w:hint="eastAsia"/>
          <w:lang w:eastAsia="zh-CN"/>
        </w:rPr>
        <w:t>.22.2.</w:t>
      </w:r>
      <w:r w:rsidR="009127E9">
        <w:rPr>
          <w:rFonts w:eastAsia="SimSun"/>
          <w:lang w:eastAsia="zh-CN"/>
        </w:rPr>
        <w:t>2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29890E45" w14:textId="77777777" w:rsidR="009127E9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9127E9" w:rsidRPr="009127E9">
        <w:rPr>
          <w:rFonts w:eastAsia="SimSun"/>
          <w:lang w:eastAsia="zh-CN"/>
        </w:rPr>
        <w:t xml:space="preserve">Discussion on RRM requirements for </w:t>
      </w:r>
      <w:bookmarkStart w:id="0" w:name="OLE_LINK91"/>
      <w:r w:rsidR="009127E9" w:rsidRPr="009127E9">
        <w:rPr>
          <w:rFonts w:eastAsia="SimSun"/>
          <w:lang w:eastAsia="zh-CN"/>
        </w:rPr>
        <w:t>adaptation of common signal/channel transmission</w:t>
      </w:r>
    </w:p>
    <w:bookmarkEnd w:id="0"/>
    <w:p w14:paraId="01A569F0" w14:textId="50ECDA8C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1" w:name="OLE_LINK42"/>
      <w:proofErr w:type="spellStart"/>
      <w:r w:rsidR="009A4D86" w:rsidRPr="009A4D86">
        <w:rPr>
          <w:rFonts w:eastAsia="SimSun"/>
          <w:lang w:eastAsia="zh-CN"/>
        </w:rPr>
        <w:t>Netw_Energy_NR_enh</w:t>
      </w:r>
      <w:proofErr w:type="spellEnd"/>
      <w:r w:rsidR="009A4D86" w:rsidRPr="009A4D86">
        <w:rPr>
          <w:rFonts w:eastAsia="SimSun"/>
          <w:lang w:eastAsia="zh-CN"/>
        </w:rPr>
        <w:t>-Core</w:t>
      </w:r>
    </w:p>
    <w:bookmarkEnd w:id="1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proofErr w:type="gramStart"/>
      <w:r>
        <w:rPr>
          <w:rFonts w:eastAsia="SimSun"/>
          <w:lang w:val="en-US" w:eastAsia="zh-CN"/>
        </w:rPr>
        <w:t xml:space="preserve">1  </w:t>
      </w:r>
      <w:r>
        <w:t>Introduction</w:t>
      </w:r>
      <w:proofErr w:type="gramEnd"/>
    </w:p>
    <w:p w14:paraId="7059D337" w14:textId="77777777" w:rsidR="00780934" w:rsidRDefault="00F273DC" w:rsidP="00780934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In </w:t>
      </w:r>
      <w:r w:rsidRPr="00F30A55">
        <w:rPr>
          <w:rFonts w:ascii="Arial" w:hAnsi="Arial" w:cs="Arial"/>
          <w:kern w:val="0"/>
          <w:sz w:val="20"/>
          <w:szCs w:val="20"/>
          <w:lang w:val="en-US" w:eastAsia="zh-CN"/>
        </w:rPr>
        <w:t>RAN#104 meeting, the “</w:t>
      </w:r>
      <w:r w:rsidR="00A17868" w:rsidRPr="00F30A55">
        <w:rPr>
          <w:rFonts w:ascii="Arial" w:hAnsi="Arial" w:cs="Arial"/>
          <w:kern w:val="0"/>
          <w:sz w:val="20"/>
          <w:szCs w:val="20"/>
          <w:lang w:val="en-US" w:eastAsia="zh-CN"/>
        </w:rPr>
        <w:t>Revised WID: Enhancements of network energy savings for NR</w:t>
      </w:r>
      <w:r w:rsidRPr="00F30A55">
        <w:rPr>
          <w:rFonts w:ascii="Arial" w:hAnsi="Arial" w:cs="Arial"/>
          <w:kern w:val="0"/>
          <w:sz w:val="20"/>
          <w:szCs w:val="20"/>
          <w:lang w:val="en-US" w:eastAsia="zh-CN"/>
        </w:rPr>
        <w:t>” has been approved in [1]</w:t>
      </w:r>
      <w:r w:rsidR="00780934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</w:t>
      </w:r>
    </w:p>
    <w:p w14:paraId="34AB039D" w14:textId="2753C083" w:rsidR="00E34F2C" w:rsidRDefault="00780934" w:rsidP="00780934">
      <w:pPr>
        <w:pStyle w:val="B1"/>
        <w:ind w:left="0" w:firstLine="0"/>
        <w:rPr>
          <w:rFonts w:cs="Arial"/>
          <w:lang w:val="en-US" w:eastAsia="zh-CN"/>
        </w:rPr>
      </w:pP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RRM requirement for </w:t>
      </w:r>
      <w:r w:rsidRPr="00780934">
        <w:rPr>
          <w:rFonts w:ascii="Arial" w:hAnsi="Arial" w:cs="Arial"/>
          <w:kern w:val="0"/>
          <w:sz w:val="20"/>
          <w:szCs w:val="20"/>
          <w:lang w:val="en-US" w:eastAsia="zh-CN"/>
        </w:rPr>
        <w:t>adaptation of common signal/channel transmission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was discussed in WF</w:t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begin"/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REF _Ref179234535 \n \h </w:instrText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separate"/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  <w:t>[3]</w:t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end"/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  <w:t>.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bookmarkStart w:id="2" w:name="OLE_LINK18"/>
      <w:bookmarkStart w:id="3" w:name="OLE_LINK26"/>
      <w:bookmarkStart w:id="4" w:name="OLE_LINK20"/>
    </w:p>
    <w:bookmarkEnd w:id="2"/>
    <w:bookmarkEnd w:id="3"/>
    <w:p w14:paraId="5E3D97F8" w14:textId="26819C3F" w:rsidR="00A557ED" w:rsidRDefault="00164A1D" w:rsidP="00A557ED">
      <w:pPr>
        <w:pStyle w:val="Heading1"/>
        <w:ind w:left="426" w:hanging="426"/>
        <w:rPr>
          <w:lang w:val="en-US" w:eastAsia="zh-CN"/>
        </w:rPr>
      </w:pPr>
      <w:r>
        <w:rPr>
          <w:lang w:val="en-US" w:eastAsia="zh-CN"/>
        </w:rPr>
        <w:t>2</w:t>
      </w:r>
      <w:r w:rsidR="00A557ED">
        <w:rPr>
          <w:lang w:val="en-US" w:eastAsia="zh-CN"/>
        </w:rPr>
        <w:t xml:space="preserve"> </w:t>
      </w:r>
      <w:bookmarkStart w:id="5" w:name="OLE_LINK19"/>
      <w:bookmarkStart w:id="6" w:name="OLE_LINK22"/>
      <w:bookmarkStart w:id="7" w:name="OLE_LINK13"/>
      <w:r w:rsidR="00A557ED">
        <w:rPr>
          <w:lang w:val="en-US" w:eastAsia="zh-CN"/>
        </w:rPr>
        <w:t xml:space="preserve">Time domain adaptation </w:t>
      </w:r>
      <w:bookmarkEnd w:id="5"/>
      <w:r w:rsidR="00652145">
        <w:rPr>
          <w:lang w:val="en-US" w:eastAsia="zh-CN"/>
        </w:rPr>
        <w:t>of</w:t>
      </w:r>
      <w:r w:rsidR="00A557ED">
        <w:rPr>
          <w:lang w:val="en-US" w:eastAsia="zh-CN"/>
        </w:rPr>
        <w:t xml:space="preserve"> </w:t>
      </w:r>
      <w:r w:rsidR="004E0188">
        <w:rPr>
          <w:lang w:val="en-US" w:eastAsia="zh-CN"/>
        </w:rPr>
        <w:t xml:space="preserve">L1/L3 </w:t>
      </w:r>
      <w:r w:rsidR="00A557ED">
        <w:rPr>
          <w:lang w:val="en-US" w:eastAsia="zh-CN"/>
        </w:rPr>
        <w:t xml:space="preserve">SSB </w:t>
      </w:r>
      <w:bookmarkEnd w:id="6"/>
      <w:r w:rsidR="004E0188">
        <w:rPr>
          <w:lang w:val="en-US" w:eastAsia="zh-CN"/>
        </w:rPr>
        <w:t>measurement in CONN</w:t>
      </w:r>
      <w:bookmarkEnd w:id="7"/>
    </w:p>
    <w:p w14:paraId="09E1A46D" w14:textId="105AD9E5" w:rsidR="00164A1D" w:rsidRDefault="00164A1D" w:rsidP="00164A1D">
      <w:pPr>
        <w:pStyle w:val="CRCoverPage"/>
        <w:spacing w:after="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By following the WF </w:t>
      </w:r>
      <w:r>
        <w:fldChar w:fldCharType="begin"/>
      </w:r>
      <w:r>
        <w:rPr>
          <w:rFonts w:cs="Arial"/>
          <w:lang w:val="en-US" w:eastAsia="zh-CN"/>
        </w:rPr>
        <w:instrText xml:space="preserve"> REF _Ref179234535 \n \h </w:instrText>
      </w:r>
      <w:r>
        <w:fldChar w:fldCharType="separate"/>
      </w:r>
      <w:r>
        <w:rPr>
          <w:rFonts w:cs="Arial"/>
          <w:lang w:val="en-US" w:eastAsia="zh-CN"/>
        </w:rPr>
        <w:t>[3]</w:t>
      </w:r>
      <w:r>
        <w:fldChar w:fldCharType="end"/>
      </w:r>
      <w:r>
        <w:t xml:space="preserve"> </w:t>
      </w:r>
      <w:r>
        <w:rPr>
          <w:rFonts w:cs="Arial"/>
          <w:lang w:val="en-US" w:eastAsia="zh-CN"/>
        </w:rPr>
        <w:t xml:space="preserve">as below, the RRM requirements for L1/L3 SSB periodicity adaptation in CONNECTED mode will be discussed. </w:t>
      </w:r>
      <w:bookmarkStart w:id="8" w:name="OLE_LINK67"/>
    </w:p>
    <w:p w14:paraId="306D9A14" w14:textId="137AB1B8" w:rsidR="00164A1D" w:rsidRDefault="00164A1D" w:rsidP="00164A1D">
      <w:pPr>
        <w:pStyle w:val="CRCoverPage"/>
        <w:spacing w:after="0"/>
        <w:rPr>
          <w:rFonts w:cs="Arial"/>
          <w:lang w:val="en-US"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807B772" wp14:editId="7A07ACBC">
                <wp:simplePos x="0" y="0"/>
                <wp:positionH relativeFrom="column">
                  <wp:posOffset>190500</wp:posOffset>
                </wp:positionH>
                <wp:positionV relativeFrom="paragraph">
                  <wp:posOffset>182880</wp:posOffset>
                </wp:positionV>
                <wp:extent cx="6309360" cy="2919095"/>
                <wp:effectExtent l="0" t="0" r="15240" b="2159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9360" cy="281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41F6B1" w14:textId="77777777" w:rsidR="002F00FA" w:rsidRDefault="002F00FA" w:rsidP="002F00FA">
                            <w:pPr>
                              <w:snapToGrid w:val="0"/>
                              <w:spacing w:after="120"/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</w:pPr>
                            <w:bookmarkStart w:id="9" w:name="OLE_LINK65"/>
                            <w:bookmarkStart w:id="10" w:name="OLE_LINK66"/>
                            <w:bookmarkStart w:id="11" w:name="_Hlk181872440"/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Issue 1-1-1: Scenario clarification based on RAN1 </w:t>
                            </w:r>
                            <w:proofErr w:type="gramStart"/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>progress</w:t>
                            </w:r>
                            <w:proofErr w:type="gramEnd"/>
                          </w:p>
                          <w:p w14:paraId="3DA1A9C3" w14:textId="77777777" w:rsidR="002F00FA" w:rsidRDefault="002F00FA" w:rsidP="002F00FA">
                            <w:pPr>
                              <w:snapToGrid w:val="0"/>
                              <w:spacing w:after="120"/>
                              <w:rPr>
                                <w:rFonts w:eastAsia="DengXian"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 w14:paraId="7DFA5FEC" w14:textId="77777777" w:rsidR="002F00FA" w:rsidRDefault="002F00FA" w:rsidP="002F00FA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autoSpaceDN w:val="0"/>
                              <w:snapToGrid w:val="0"/>
                              <w:spacing w:after="120"/>
                              <w:ind w:left="1656"/>
                              <w:contextualSpacing w:val="0"/>
                              <w:rPr>
                                <w:rFonts w:eastAsia="MS Mincho"/>
                                <w:szCs w:val="21"/>
                                <w:highlight w:val="green"/>
                              </w:rPr>
                            </w:pPr>
                            <w:r>
                              <w:rPr>
                                <w:szCs w:val="21"/>
                                <w:highlight w:val="green"/>
                              </w:rPr>
                              <w:t>Per RAN1 agreements, RAN4 to take following as starting point for SSB adaption discussion:</w:t>
                            </w:r>
                          </w:p>
                          <w:p w14:paraId="093EE8E2" w14:textId="77777777" w:rsidR="002F00FA" w:rsidRDefault="002F00FA" w:rsidP="002F00FA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autoSpaceDN w:val="0"/>
                              <w:snapToGrid w:val="0"/>
                              <w:spacing w:after="120"/>
                              <w:ind w:left="2376"/>
                              <w:contextualSpacing w:val="0"/>
                              <w:rPr>
                                <w:szCs w:val="21"/>
                                <w:highlight w:val="green"/>
                              </w:rPr>
                            </w:pPr>
                            <w:r>
                              <w:rPr>
                                <w:szCs w:val="21"/>
                                <w:highlight w:val="green"/>
                              </w:rPr>
                              <w:t>CONNECTED mode</w:t>
                            </w:r>
                            <w:r>
                              <w:rPr>
                                <w:szCs w:val="21"/>
                                <w:highlight w:val="green"/>
                                <w:u w:val="single"/>
                              </w:rPr>
                              <w:t xml:space="preserve">, and </w:t>
                            </w:r>
                          </w:p>
                          <w:p w14:paraId="4D78DB3A" w14:textId="77777777" w:rsidR="002F00FA" w:rsidRDefault="002F00FA" w:rsidP="002F00FA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autoSpaceDN w:val="0"/>
                              <w:snapToGrid w:val="0"/>
                              <w:spacing w:after="120"/>
                              <w:ind w:left="2376"/>
                              <w:contextualSpacing w:val="0"/>
                              <w:rPr>
                                <w:szCs w:val="21"/>
                                <w:highlight w:val="green"/>
                              </w:rPr>
                            </w:pPr>
                            <w:r>
                              <w:rPr>
                                <w:szCs w:val="21"/>
                                <w:highlight w:val="green"/>
                              </w:rPr>
                              <w:t xml:space="preserve">SSB adaptation for </w:t>
                            </w:r>
                            <w:proofErr w:type="spellStart"/>
                            <w:r>
                              <w:rPr>
                                <w:szCs w:val="21"/>
                                <w:highlight w:val="gree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szCs w:val="21"/>
                                <w:highlight w:val="green"/>
                                <w:u w:val="single"/>
                              </w:rPr>
                              <w:t>, and</w:t>
                            </w:r>
                          </w:p>
                          <w:p w14:paraId="307F1198" w14:textId="77777777" w:rsidR="002F00FA" w:rsidRDefault="002F00FA" w:rsidP="002F00FA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autoSpaceDN w:val="0"/>
                              <w:snapToGrid w:val="0"/>
                              <w:spacing w:after="120"/>
                              <w:ind w:left="2376"/>
                              <w:contextualSpacing w:val="0"/>
                              <w:rPr>
                                <w:szCs w:val="21"/>
                                <w:highlight w:val="green"/>
                              </w:rPr>
                            </w:pPr>
                            <w:r>
                              <w:rPr>
                                <w:szCs w:val="21"/>
                                <w:highlight w:val="green"/>
                              </w:rPr>
                              <w:t>SSB adaptation for NCD-SSB</w:t>
                            </w:r>
                            <w:r>
                              <w:rPr>
                                <w:szCs w:val="21"/>
                                <w:highlight w:val="green"/>
                                <w:u w:val="single"/>
                              </w:rPr>
                              <w:t>, and</w:t>
                            </w:r>
                          </w:p>
                          <w:p w14:paraId="15D2BFAD" w14:textId="77777777" w:rsidR="002F00FA" w:rsidRDefault="002F00FA" w:rsidP="002F00FA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autoSpaceDN w:val="0"/>
                              <w:snapToGrid w:val="0"/>
                              <w:spacing w:after="120"/>
                              <w:ind w:left="2376"/>
                              <w:contextualSpacing w:val="0"/>
                              <w:rPr>
                                <w:szCs w:val="21"/>
                                <w:highlight w:val="green"/>
                              </w:rPr>
                            </w:pPr>
                            <w:r>
                              <w:rPr>
                                <w:szCs w:val="21"/>
                                <w:highlight w:val="green"/>
                              </w:rPr>
                              <w:t xml:space="preserve">SSB periodicity adaptation in </w:t>
                            </w:r>
                            <w:r w:rsidRPr="002F00FA">
                              <w:rPr>
                                <w:b/>
                                <w:bCs/>
                                <w:szCs w:val="21"/>
                                <w:highlight w:val="cyan"/>
                              </w:rPr>
                              <w:t>time-domain</w:t>
                            </w:r>
                          </w:p>
                          <w:p w14:paraId="510FFFF3" w14:textId="77777777" w:rsidR="002F00FA" w:rsidRDefault="002F00FA" w:rsidP="002F00FA">
                            <w:pPr>
                              <w:snapToGrid w:val="0"/>
                              <w:spacing w:after="120"/>
                              <w:ind w:left="1420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Note: Above could be further updated based on further RAN1 progress (</w:t>
                            </w:r>
                            <w:proofErr w:type="gramStart"/>
                            <w:r>
                              <w:rPr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PCell</w:t>
                            </w:r>
                            <w:proofErr w:type="spellEnd"/>
                            <w:r>
                              <w:rPr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, other adaptation mechanism)</w:t>
                            </w:r>
                          </w:p>
                          <w:p w14:paraId="6DDAFEA4" w14:textId="77777777" w:rsidR="002F00FA" w:rsidRDefault="002F00FA" w:rsidP="002F00FA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0567D2F7" w14:textId="77777777" w:rsidR="002F00FA" w:rsidRDefault="002F00FA" w:rsidP="002F00FA">
                            <w:pPr>
                              <w:snapToGrid w:val="0"/>
                              <w:spacing w:after="120"/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Issue 1-2-1: Requirements need </w:t>
                            </w:r>
                            <w:proofErr w:type="gramStart"/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>updating</w:t>
                            </w:r>
                            <w:proofErr w:type="gramEnd"/>
                          </w:p>
                          <w:p w14:paraId="7B150B18" w14:textId="77777777" w:rsidR="002F00FA" w:rsidRDefault="002F00FA" w:rsidP="002F00FA">
                            <w:pPr>
                              <w:snapToGrid w:val="0"/>
                              <w:spacing w:after="120"/>
                              <w:rPr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Agreement:</w:t>
                            </w:r>
                          </w:p>
                          <w:p w14:paraId="71578EDA" w14:textId="77777777" w:rsidR="002F00FA" w:rsidRDefault="002F00FA" w:rsidP="002F00FA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autoSpaceDN w:val="0"/>
                              <w:snapToGrid w:val="0"/>
                              <w:spacing w:after="120"/>
                              <w:ind w:left="1656"/>
                              <w:contextualSpacing w:val="0"/>
                              <w:rPr>
                                <w:szCs w:val="21"/>
                                <w:highlight w:val="green"/>
                              </w:rPr>
                            </w:pPr>
                            <w:r>
                              <w:rPr>
                                <w:szCs w:val="21"/>
                                <w:highlight w:val="green"/>
                              </w:rPr>
                              <w:t>RAN4 to discuss whether there are any impacts on at least the following RRM requirements due to SSB adaption:</w:t>
                            </w:r>
                          </w:p>
                          <w:p w14:paraId="47103A34" w14:textId="77777777" w:rsidR="002F00FA" w:rsidRDefault="002F00FA" w:rsidP="002F00FA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autoSpaceDN w:val="0"/>
                              <w:snapToGrid w:val="0"/>
                              <w:spacing w:after="120"/>
                              <w:ind w:left="2376"/>
                              <w:contextualSpacing w:val="0"/>
                              <w:rPr>
                                <w:szCs w:val="21"/>
                                <w:highlight w:val="green"/>
                              </w:rPr>
                            </w:pPr>
                            <w:r>
                              <w:rPr>
                                <w:szCs w:val="21"/>
                                <w:highlight w:val="green"/>
                              </w:rPr>
                              <w:t xml:space="preserve">L1-RSRP for serving </w:t>
                            </w:r>
                            <w:proofErr w:type="gramStart"/>
                            <w:r>
                              <w:rPr>
                                <w:szCs w:val="21"/>
                                <w:highlight w:val="green"/>
                              </w:rPr>
                              <w:t>cell</w:t>
                            </w:r>
                            <w:proofErr w:type="gramEnd"/>
                          </w:p>
                          <w:p w14:paraId="5495C437" w14:textId="77777777" w:rsidR="002F00FA" w:rsidRDefault="002F00FA" w:rsidP="002F00FA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autoSpaceDN w:val="0"/>
                              <w:snapToGrid w:val="0"/>
                              <w:spacing w:after="120"/>
                              <w:ind w:left="2376"/>
                              <w:contextualSpacing w:val="0"/>
                              <w:rPr>
                                <w:szCs w:val="21"/>
                                <w:highlight w:val="green"/>
                              </w:rPr>
                            </w:pPr>
                            <w:r>
                              <w:rPr>
                                <w:szCs w:val="21"/>
                                <w:highlight w:val="green"/>
                              </w:rPr>
                              <w:t>L1-SINR</w:t>
                            </w:r>
                          </w:p>
                          <w:p w14:paraId="10955E54" w14:textId="77777777" w:rsidR="002F00FA" w:rsidRDefault="002F00FA" w:rsidP="002F00FA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autoSpaceDN w:val="0"/>
                              <w:snapToGrid w:val="0"/>
                              <w:spacing w:after="120"/>
                              <w:ind w:left="2376"/>
                              <w:contextualSpacing w:val="0"/>
                              <w:rPr>
                                <w:szCs w:val="21"/>
                                <w:highlight w:val="green"/>
                              </w:rPr>
                            </w:pPr>
                            <w:r>
                              <w:rPr>
                                <w:szCs w:val="21"/>
                                <w:highlight w:val="green"/>
                              </w:rPr>
                              <w:t>BFD</w:t>
                            </w:r>
                          </w:p>
                          <w:p w14:paraId="4D508904" w14:textId="77777777" w:rsidR="002F00FA" w:rsidRDefault="002F00FA" w:rsidP="002F00FA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autoSpaceDN w:val="0"/>
                              <w:snapToGrid w:val="0"/>
                              <w:spacing w:after="120"/>
                              <w:ind w:left="2376"/>
                              <w:contextualSpacing w:val="0"/>
                              <w:rPr>
                                <w:szCs w:val="21"/>
                                <w:highlight w:val="green"/>
                              </w:rPr>
                            </w:pPr>
                            <w:r>
                              <w:rPr>
                                <w:szCs w:val="21"/>
                                <w:highlight w:val="green"/>
                              </w:rPr>
                              <w:t>CBD</w:t>
                            </w:r>
                          </w:p>
                          <w:p w14:paraId="25A549C1" w14:textId="77777777" w:rsidR="002F00FA" w:rsidRDefault="002F00FA" w:rsidP="002F00FA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autoSpaceDN w:val="0"/>
                              <w:snapToGrid w:val="0"/>
                              <w:spacing w:after="120"/>
                              <w:ind w:left="2376"/>
                              <w:contextualSpacing w:val="0"/>
                              <w:rPr>
                                <w:szCs w:val="21"/>
                                <w:highlight w:val="green"/>
                              </w:rPr>
                            </w:pPr>
                            <w:proofErr w:type="spellStart"/>
                            <w:r>
                              <w:rPr>
                                <w:szCs w:val="21"/>
                                <w:highlight w:val="green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szCs w:val="21"/>
                                <w:highlight w:val="green"/>
                              </w:rPr>
                              <w:t xml:space="preserve"> activation</w:t>
                            </w:r>
                          </w:p>
                          <w:p w14:paraId="510B28C9" w14:textId="77777777" w:rsidR="002F00FA" w:rsidRDefault="002F00FA" w:rsidP="002F00FA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autoSpaceDN w:val="0"/>
                              <w:snapToGrid w:val="0"/>
                              <w:spacing w:after="120"/>
                              <w:ind w:left="2376"/>
                              <w:contextualSpacing w:val="0"/>
                              <w:rPr>
                                <w:szCs w:val="21"/>
                                <w:highlight w:val="green"/>
                              </w:rPr>
                            </w:pPr>
                            <w:r>
                              <w:rPr>
                                <w:szCs w:val="21"/>
                                <w:highlight w:val="green"/>
                              </w:rPr>
                              <w:t>TCI state switching</w:t>
                            </w:r>
                          </w:p>
                          <w:p w14:paraId="34287F49" w14:textId="77777777" w:rsidR="002F00FA" w:rsidRDefault="002F00FA" w:rsidP="002F00FA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autoSpaceDN w:val="0"/>
                              <w:snapToGrid w:val="0"/>
                              <w:spacing w:after="120"/>
                              <w:ind w:left="2376"/>
                              <w:contextualSpacing w:val="0"/>
                              <w:rPr>
                                <w:szCs w:val="21"/>
                                <w:highlight w:val="green"/>
                              </w:rPr>
                            </w:pPr>
                            <w:r>
                              <w:rPr>
                                <w:szCs w:val="21"/>
                                <w:highlight w:val="green"/>
                              </w:rPr>
                              <w:t xml:space="preserve">NR intra-frequency L3 measurement </w:t>
                            </w:r>
                          </w:p>
                          <w:p w14:paraId="10A7EC50" w14:textId="77777777" w:rsidR="002F00FA" w:rsidRDefault="002F00FA" w:rsidP="002F00FA">
                            <w:pPr>
                              <w:pStyle w:val="ListParagraph"/>
                              <w:numPr>
                                <w:ilvl w:val="2"/>
                                <w:numId w:val="28"/>
                              </w:numPr>
                              <w:autoSpaceDN w:val="0"/>
                              <w:snapToGrid w:val="0"/>
                              <w:spacing w:after="120"/>
                              <w:ind w:left="2376"/>
                              <w:contextualSpacing w:val="0"/>
                              <w:rPr>
                                <w:szCs w:val="21"/>
                                <w:highlight w:val="green"/>
                              </w:rPr>
                            </w:pPr>
                            <w:r>
                              <w:rPr>
                                <w:szCs w:val="21"/>
                                <w:highlight w:val="green"/>
                              </w:rPr>
                              <w:t xml:space="preserve">NR inter-frequency L3 measurement </w:t>
                            </w:r>
                          </w:p>
                          <w:p w14:paraId="1ACB7203" w14:textId="7C86AF92" w:rsidR="00164A1D" w:rsidRPr="002F00FA" w:rsidRDefault="002F00FA" w:rsidP="002F00FA">
                            <w:pPr>
                              <w:snapToGrid w:val="0"/>
                              <w:spacing w:after="120"/>
                              <w:ind w:left="1420"/>
                              <w:rPr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>Note: Above list could be further updated based on RAN4 discussion.</w:t>
                            </w:r>
                            <w:bookmarkEnd w:id="9"/>
                            <w:bookmarkEnd w:id="10"/>
                            <w:bookmarkEnd w:id="11"/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07B7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pt;margin-top:14.4pt;width:496.8pt;height:229.8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">
                <v:textbox style="mso-fit-shape-to-text:t">
                  <w:txbxContent>
                    <w:p w14:paraId="4041F6B1" w14:textId="77777777" w:rsidR="002F00FA" w:rsidRDefault="002F00FA" w:rsidP="002F00FA">
                      <w:pPr>
                        <w:snapToGrid w:val="0"/>
                        <w:spacing w:after="120"/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</w:pPr>
                      <w:bookmarkStart w:id="12" w:name="OLE_LINK65"/>
                      <w:bookmarkStart w:id="13" w:name="OLE_LINK66"/>
                      <w:bookmarkStart w:id="14" w:name="_Hlk181872440"/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Issue 1-1-1: Scenario clarification based on RAN1 </w:t>
                      </w:r>
                      <w:proofErr w:type="gramStart"/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>progress</w:t>
                      </w:r>
                      <w:proofErr w:type="gramEnd"/>
                    </w:p>
                    <w:p w14:paraId="3DA1A9C3" w14:textId="77777777" w:rsidR="002F00FA" w:rsidRDefault="002F00FA" w:rsidP="002F00FA">
                      <w:pPr>
                        <w:snapToGrid w:val="0"/>
                        <w:spacing w:after="120"/>
                        <w:rPr>
                          <w:rFonts w:eastAsia="DengXian"/>
                          <w:sz w:val="21"/>
                          <w:szCs w:val="21"/>
                          <w:highlight w:val="green"/>
                          <w:lang w:eastAsia="zh-CN"/>
                        </w:rPr>
                      </w:pPr>
                      <w:r>
                        <w:rPr>
                          <w:rFonts w:eastAsia="DengXian"/>
                          <w:sz w:val="21"/>
                          <w:szCs w:val="21"/>
                          <w:highlight w:val="green"/>
                          <w:lang w:eastAsia="zh-CN"/>
                        </w:rPr>
                        <w:t>Agreement:</w:t>
                      </w:r>
                    </w:p>
                    <w:p w14:paraId="7DFA5FEC" w14:textId="77777777" w:rsidR="002F00FA" w:rsidRDefault="002F00FA" w:rsidP="002F00FA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autoSpaceDN w:val="0"/>
                        <w:snapToGrid w:val="0"/>
                        <w:spacing w:after="120"/>
                        <w:ind w:left="1656"/>
                        <w:contextualSpacing w:val="0"/>
                        <w:rPr>
                          <w:rFonts w:eastAsia="MS Mincho"/>
                          <w:szCs w:val="21"/>
                          <w:highlight w:val="green"/>
                        </w:rPr>
                      </w:pPr>
                      <w:r>
                        <w:rPr>
                          <w:szCs w:val="21"/>
                          <w:highlight w:val="green"/>
                        </w:rPr>
                        <w:t>Per RAN1 agreements, RAN4 to take following as starting point for SSB adaption discussion:</w:t>
                      </w:r>
                    </w:p>
                    <w:p w14:paraId="093EE8E2" w14:textId="77777777" w:rsidR="002F00FA" w:rsidRDefault="002F00FA" w:rsidP="002F00FA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autoSpaceDN w:val="0"/>
                        <w:snapToGrid w:val="0"/>
                        <w:spacing w:after="120"/>
                        <w:ind w:left="2376"/>
                        <w:contextualSpacing w:val="0"/>
                        <w:rPr>
                          <w:szCs w:val="21"/>
                          <w:highlight w:val="green"/>
                        </w:rPr>
                      </w:pPr>
                      <w:r>
                        <w:rPr>
                          <w:szCs w:val="21"/>
                          <w:highlight w:val="green"/>
                        </w:rPr>
                        <w:t>CONNECTED mode</w:t>
                      </w:r>
                      <w:r>
                        <w:rPr>
                          <w:szCs w:val="21"/>
                          <w:highlight w:val="green"/>
                          <w:u w:val="single"/>
                        </w:rPr>
                        <w:t xml:space="preserve">, and </w:t>
                      </w:r>
                    </w:p>
                    <w:p w14:paraId="4D78DB3A" w14:textId="77777777" w:rsidR="002F00FA" w:rsidRDefault="002F00FA" w:rsidP="002F00FA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autoSpaceDN w:val="0"/>
                        <w:snapToGrid w:val="0"/>
                        <w:spacing w:after="120"/>
                        <w:ind w:left="2376"/>
                        <w:contextualSpacing w:val="0"/>
                        <w:rPr>
                          <w:szCs w:val="21"/>
                          <w:highlight w:val="green"/>
                        </w:rPr>
                      </w:pPr>
                      <w:r>
                        <w:rPr>
                          <w:szCs w:val="21"/>
                          <w:highlight w:val="green"/>
                        </w:rPr>
                        <w:t xml:space="preserve">SSB adaptation for </w:t>
                      </w:r>
                      <w:proofErr w:type="spellStart"/>
                      <w:r>
                        <w:rPr>
                          <w:szCs w:val="21"/>
                          <w:highlight w:val="green"/>
                        </w:rPr>
                        <w:t>SCell</w:t>
                      </w:r>
                      <w:proofErr w:type="spellEnd"/>
                      <w:r>
                        <w:rPr>
                          <w:szCs w:val="21"/>
                          <w:highlight w:val="green"/>
                          <w:u w:val="single"/>
                        </w:rPr>
                        <w:t>, and</w:t>
                      </w:r>
                    </w:p>
                    <w:p w14:paraId="307F1198" w14:textId="77777777" w:rsidR="002F00FA" w:rsidRDefault="002F00FA" w:rsidP="002F00FA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autoSpaceDN w:val="0"/>
                        <w:snapToGrid w:val="0"/>
                        <w:spacing w:after="120"/>
                        <w:ind w:left="2376"/>
                        <w:contextualSpacing w:val="0"/>
                        <w:rPr>
                          <w:szCs w:val="21"/>
                          <w:highlight w:val="green"/>
                        </w:rPr>
                      </w:pPr>
                      <w:r>
                        <w:rPr>
                          <w:szCs w:val="21"/>
                          <w:highlight w:val="green"/>
                        </w:rPr>
                        <w:t>SSB adaptation for NCD-SSB</w:t>
                      </w:r>
                      <w:r>
                        <w:rPr>
                          <w:szCs w:val="21"/>
                          <w:highlight w:val="green"/>
                          <w:u w:val="single"/>
                        </w:rPr>
                        <w:t>, and</w:t>
                      </w:r>
                    </w:p>
                    <w:p w14:paraId="15D2BFAD" w14:textId="77777777" w:rsidR="002F00FA" w:rsidRDefault="002F00FA" w:rsidP="002F00FA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autoSpaceDN w:val="0"/>
                        <w:snapToGrid w:val="0"/>
                        <w:spacing w:after="120"/>
                        <w:ind w:left="2376"/>
                        <w:contextualSpacing w:val="0"/>
                        <w:rPr>
                          <w:szCs w:val="21"/>
                          <w:highlight w:val="green"/>
                        </w:rPr>
                      </w:pPr>
                      <w:r>
                        <w:rPr>
                          <w:szCs w:val="21"/>
                          <w:highlight w:val="green"/>
                        </w:rPr>
                        <w:t xml:space="preserve">SSB periodicity adaptation in </w:t>
                      </w:r>
                      <w:r w:rsidRPr="002F00FA">
                        <w:rPr>
                          <w:b/>
                          <w:bCs/>
                          <w:szCs w:val="21"/>
                          <w:highlight w:val="cyan"/>
                        </w:rPr>
                        <w:t>time-domain</w:t>
                      </w:r>
                    </w:p>
                    <w:p w14:paraId="510FFFF3" w14:textId="77777777" w:rsidR="002F00FA" w:rsidRDefault="002F00FA" w:rsidP="002F00FA">
                      <w:pPr>
                        <w:snapToGrid w:val="0"/>
                        <w:spacing w:after="120"/>
                        <w:ind w:left="1420"/>
                        <w:rPr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sz w:val="21"/>
                          <w:szCs w:val="21"/>
                          <w:highlight w:val="green"/>
                          <w:lang w:eastAsia="zh-CN"/>
                        </w:rPr>
                        <w:t>Note: Above could be further updated based on further RAN1 progress (</w:t>
                      </w:r>
                      <w:proofErr w:type="gramStart"/>
                      <w:r>
                        <w:rPr>
                          <w:sz w:val="21"/>
                          <w:szCs w:val="21"/>
                          <w:highlight w:val="green"/>
                          <w:lang w:eastAsia="zh-CN"/>
                        </w:rPr>
                        <w:t>e.g.</w:t>
                      </w:r>
                      <w:proofErr w:type="gramEnd"/>
                      <w:r>
                        <w:rPr>
                          <w:sz w:val="21"/>
                          <w:szCs w:val="21"/>
                          <w:highlight w:val="green"/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1"/>
                          <w:szCs w:val="21"/>
                          <w:highlight w:val="green"/>
                          <w:lang w:eastAsia="zh-CN"/>
                        </w:rPr>
                        <w:t>PCell</w:t>
                      </w:r>
                      <w:proofErr w:type="spellEnd"/>
                      <w:r>
                        <w:rPr>
                          <w:sz w:val="21"/>
                          <w:szCs w:val="21"/>
                          <w:highlight w:val="green"/>
                          <w:lang w:eastAsia="zh-CN"/>
                        </w:rPr>
                        <w:t>, other adaptation mechanism)</w:t>
                      </w:r>
                    </w:p>
                    <w:p w14:paraId="6DDAFEA4" w14:textId="77777777" w:rsidR="002F00FA" w:rsidRDefault="002F00FA" w:rsidP="002F00FA">
                      <w:pPr>
                        <w:rPr>
                          <w:lang w:eastAsia="zh-CN"/>
                        </w:rPr>
                      </w:pPr>
                    </w:p>
                    <w:p w14:paraId="0567D2F7" w14:textId="77777777" w:rsidR="002F00FA" w:rsidRDefault="002F00FA" w:rsidP="002F00FA">
                      <w:pPr>
                        <w:snapToGrid w:val="0"/>
                        <w:spacing w:after="120"/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Issue 1-2-1: Requirements need </w:t>
                      </w:r>
                      <w:proofErr w:type="gramStart"/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>updating</w:t>
                      </w:r>
                      <w:proofErr w:type="gramEnd"/>
                    </w:p>
                    <w:p w14:paraId="7B150B18" w14:textId="77777777" w:rsidR="002F00FA" w:rsidRDefault="002F00FA" w:rsidP="002F00FA">
                      <w:pPr>
                        <w:snapToGrid w:val="0"/>
                        <w:spacing w:after="120"/>
                        <w:rPr>
                          <w:sz w:val="21"/>
                          <w:szCs w:val="21"/>
                          <w:highlight w:val="green"/>
                          <w:lang w:eastAsia="zh-CN"/>
                        </w:rPr>
                      </w:pPr>
                      <w:r>
                        <w:rPr>
                          <w:sz w:val="21"/>
                          <w:szCs w:val="21"/>
                          <w:highlight w:val="green"/>
                          <w:lang w:eastAsia="zh-CN"/>
                        </w:rPr>
                        <w:t>Agreement:</w:t>
                      </w:r>
                    </w:p>
                    <w:p w14:paraId="71578EDA" w14:textId="77777777" w:rsidR="002F00FA" w:rsidRDefault="002F00FA" w:rsidP="002F00FA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autoSpaceDN w:val="0"/>
                        <w:snapToGrid w:val="0"/>
                        <w:spacing w:after="120"/>
                        <w:ind w:left="1656"/>
                        <w:contextualSpacing w:val="0"/>
                        <w:rPr>
                          <w:szCs w:val="21"/>
                          <w:highlight w:val="green"/>
                        </w:rPr>
                      </w:pPr>
                      <w:r>
                        <w:rPr>
                          <w:szCs w:val="21"/>
                          <w:highlight w:val="green"/>
                        </w:rPr>
                        <w:t>RAN4 to discuss whether there are any impacts on at least the following RRM requirements due to SSB adaption:</w:t>
                      </w:r>
                    </w:p>
                    <w:p w14:paraId="47103A34" w14:textId="77777777" w:rsidR="002F00FA" w:rsidRDefault="002F00FA" w:rsidP="002F00FA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autoSpaceDN w:val="0"/>
                        <w:snapToGrid w:val="0"/>
                        <w:spacing w:after="120"/>
                        <w:ind w:left="2376"/>
                        <w:contextualSpacing w:val="0"/>
                        <w:rPr>
                          <w:szCs w:val="21"/>
                          <w:highlight w:val="green"/>
                        </w:rPr>
                      </w:pPr>
                      <w:r>
                        <w:rPr>
                          <w:szCs w:val="21"/>
                          <w:highlight w:val="green"/>
                        </w:rPr>
                        <w:t xml:space="preserve">L1-RSRP for serving </w:t>
                      </w:r>
                      <w:proofErr w:type="gramStart"/>
                      <w:r>
                        <w:rPr>
                          <w:szCs w:val="21"/>
                          <w:highlight w:val="green"/>
                        </w:rPr>
                        <w:t>cell</w:t>
                      </w:r>
                      <w:proofErr w:type="gramEnd"/>
                    </w:p>
                    <w:p w14:paraId="5495C437" w14:textId="77777777" w:rsidR="002F00FA" w:rsidRDefault="002F00FA" w:rsidP="002F00FA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autoSpaceDN w:val="0"/>
                        <w:snapToGrid w:val="0"/>
                        <w:spacing w:after="120"/>
                        <w:ind w:left="2376"/>
                        <w:contextualSpacing w:val="0"/>
                        <w:rPr>
                          <w:szCs w:val="21"/>
                          <w:highlight w:val="green"/>
                        </w:rPr>
                      </w:pPr>
                      <w:r>
                        <w:rPr>
                          <w:szCs w:val="21"/>
                          <w:highlight w:val="green"/>
                        </w:rPr>
                        <w:t>L1-SINR</w:t>
                      </w:r>
                    </w:p>
                    <w:p w14:paraId="10955E54" w14:textId="77777777" w:rsidR="002F00FA" w:rsidRDefault="002F00FA" w:rsidP="002F00FA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autoSpaceDN w:val="0"/>
                        <w:snapToGrid w:val="0"/>
                        <w:spacing w:after="120"/>
                        <w:ind w:left="2376"/>
                        <w:contextualSpacing w:val="0"/>
                        <w:rPr>
                          <w:szCs w:val="21"/>
                          <w:highlight w:val="green"/>
                        </w:rPr>
                      </w:pPr>
                      <w:r>
                        <w:rPr>
                          <w:szCs w:val="21"/>
                          <w:highlight w:val="green"/>
                        </w:rPr>
                        <w:t>BFD</w:t>
                      </w:r>
                    </w:p>
                    <w:p w14:paraId="4D508904" w14:textId="77777777" w:rsidR="002F00FA" w:rsidRDefault="002F00FA" w:rsidP="002F00FA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autoSpaceDN w:val="0"/>
                        <w:snapToGrid w:val="0"/>
                        <w:spacing w:after="120"/>
                        <w:ind w:left="2376"/>
                        <w:contextualSpacing w:val="0"/>
                        <w:rPr>
                          <w:szCs w:val="21"/>
                          <w:highlight w:val="green"/>
                        </w:rPr>
                      </w:pPr>
                      <w:r>
                        <w:rPr>
                          <w:szCs w:val="21"/>
                          <w:highlight w:val="green"/>
                        </w:rPr>
                        <w:t>CBD</w:t>
                      </w:r>
                    </w:p>
                    <w:p w14:paraId="25A549C1" w14:textId="77777777" w:rsidR="002F00FA" w:rsidRDefault="002F00FA" w:rsidP="002F00FA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autoSpaceDN w:val="0"/>
                        <w:snapToGrid w:val="0"/>
                        <w:spacing w:after="120"/>
                        <w:ind w:left="2376"/>
                        <w:contextualSpacing w:val="0"/>
                        <w:rPr>
                          <w:szCs w:val="21"/>
                          <w:highlight w:val="green"/>
                        </w:rPr>
                      </w:pPr>
                      <w:proofErr w:type="spellStart"/>
                      <w:r>
                        <w:rPr>
                          <w:szCs w:val="21"/>
                          <w:highlight w:val="green"/>
                        </w:rPr>
                        <w:t>SCell</w:t>
                      </w:r>
                      <w:proofErr w:type="spellEnd"/>
                      <w:r>
                        <w:rPr>
                          <w:szCs w:val="21"/>
                          <w:highlight w:val="green"/>
                        </w:rPr>
                        <w:t xml:space="preserve"> activation</w:t>
                      </w:r>
                    </w:p>
                    <w:p w14:paraId="510B28C9" w14:textId="77777777" w:rsidR="002F00FA" w:rsidRDefault="002F00FA" w:rsidP="002F00FA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autoSpaceDN w:val="0"/>
                        <w:snapToGrid w:val="0"/>
                        <w:spacing w:after="120"/>
                        <w:ind w:left="2376"/>
                        <w:contextualSpacing w:val="0"/>
                        <w:rPr>
                          <w:szCs w:val="21"/>
                          <w:highlight w:val="green"/>
                        </w:rPr>
                      </w:pPr>
                      <w:r>
                        <w:rPr>
                          <w:szCs w:val="21"/>
                          <w:highlight w:val="green"/>
                        </w:rPr>
                        <w:t>TCI state switching</w:t>
                      </w:r>
                    </w:p>
                    <w:p w14:paraId="34287F49" w14:textId="77777777" w:rsidR="002F00FA" w:rsidRDefault="002F00FA" w:rsidP="002F00FA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autoSpaceDN w:val="0"/>
                        <w:snapToGrid w:val="0"/>
                        <w:spacing w:after="120"/>
                        <w:ind w:left="2376"/>
                        <w:contextualSpacing w:val="0"/>
                        <w:rPr>
                          <w:szCs w:val="21"/>
                          <w:highlight w:val="green"/>
                        </w:rPr>
                      </w:pPr>
                      <w:r>
                        <w:rPr>
                          <w:szCs w:val="21"/>
                          <w:highlight w:val="green"/>
                        </w:rPr>
                        <w:t xml:space="preserve">NR intra-frequency L3 measurement </w:t>
                      </w:r>
                    </w:p>
                    <w:p w14:paraId="10A7EC50" w14:textId="77777777" w:rsidR="002F00FA" w:rsidRDefault="002F00FA" w:rsidP="002F00FA">
                      <w:pPr>
                        <w:pStyle w:val="ListParagraph"/>
                        <w:numPr>
                          <w:ilvl w:val="2"/>
                          <w:numId w:val="28"/>
                        </w:numPr>
                        <w:autoSpaceDN w:val="0"/>
                        <w:snapToGrid w:val="0"/>
                        <w:spacing w:after="120"/>
                        <w:ind w:left="2376"/>
                        <w:contextualSpacing w:val="0"/>
                        <w:rPr>
                          <w:szCs w:val="21"/>
                          <w:highlight w:val="green"/>
                        </w:rPr>
                      </w:pPr>
                      <w:r>
                        <w:rPr>
                          <w:szCs w:val="21"/>
                          <w:highlight w:val="green"/>
                        </w:rPr>
                        <w:t xml:space="preserve">NR inter-frequency L3 measurement </w:t>
                      </w:r>
                    </w:p>
                    <w:p w14:paraId="1ACB7203" w14:textId="7C86AF92" w:rsidR="00164A1D" w:rsidRPr="002F00FA" w:rsidRDefault="002F00FA" w:rsidP="002F00FA">
                      <w:pPr>
                        <w:snapToGrid w:val="0"/>
                        <w:spacing w:after="120"/>
                        <w:ind w:left="1420"/>
                        <w:rPr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sz w:val="21"/>
                          <w:szCs w:val="21"/>
                          <w:highlight w:val="green"/>
                          <w:lang w:eastAsia="zh-CN"/>
                        </w:rPr>
                        <w:t>Note: Above list could be further updated based on RAN4 discussion.</w:t>
                      </w:r>
                      <w:bookmarkEnd w:id="12"/>
                      <w:bookmarkEnd w:id="13"/>
                      <w:bookmarkEnd w:id="14"/>
                    </w:p>
                  </w:txbxContent>
                </v:textbox>
                <w10:wrap type="square"/>
              </v:shape>
            </w:pict>
          </mc:Fallback>
        </mc:AlternateContent>
      </w:r>
    </w:p>
    <w:bookmarkEnd w:id="8"/>
    <w:p w14:paraId="77BCB8BF" w14:textId="666277D8" w:rsidR="00164A1D" w:rsidRDefault="00164A1D" w:rsidP="00164A1D">
      <w:pPr>
        <w:pStyle w:val="CRCoverPage"/>
        <w:spacing w:after="0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The concern scenario is that the transitions measurement behavior when the SSB is updated from the longer periodicity to the shorter periodicity. However</w:t>
      </w:r>
      <w:bookmarkStart w:id="15" w:name="OLE_LINK85"/>
      <w:r>
        <w:rPr>
          <w:rFonts w:cs="Arial"/>
          <w:lang w:val="en-US" w:eastAsia="zh-CN"/>
        </w:rPr>
        <w:t xml:space="preserve">, it can be analogous the existing minimum requirement </w:t>
      </w:r>
      <w:bookmarkEnd w:id="15"/>
      <w:r>
        <w:rPr>
          <w:rFonts w:cs="Arial"/>
          <w:lang w:val="en-US" w:eastAsia="zh-CN"/>
        </w:rPr>
        <w:t>at transitions, as specified in 9.1.6,</w:t>
      </w:r>
      <w:r w:rsidR="002F00FA">
        <w:rPr>
          <w:rFonts w:cs="Arial"/>
          <w:lang w:val="en-US" w:eastAsia="zh-CN"/>
        </w:rPr>
        <w:t xml:space="preserve"> as copied below,</w:t>
      </w:r>
      <w:r>
        <w:rPr>
          <w:rFonts w:cs="Arial"/>
          <w:lang w:val="en-US" w:eastAsia="zh-CN"/>
        </w:rPr>
        <w:t xml:space="preserve"> where </w:t>
      </w:r>
      <w:bookmarkStart w:id="16" w:name="OLE_LINK88"/>
      <w:r>
        <w:rPr>
          <w:rFonts w:cs="Arial"/>
          <w:lang w:val="en-US" w:eastAsia="zh-CN"/>
        </w:rPr>
        <w:t>when the UE transitions when DRX</w:t>
      </w:r>
      <w:r w:rsidR="002F00FA">
        <w:rPr>
          <w:rFonts w:cs="Arial"/>
          <w:lang w:val="en-US" w:eastAsia="zh-CN"/>
        </w:rPr>
        <w:t xml:space="preserve"> changes / CSSF updates</w:t>
      </w:r>
      <w:r>
        <w:rPr>
          <w:rFonts w:cs="Arial"/>
          <w:lang w:val="en-US" w:eastAsia="zh-CN"/>
        </w:rPr>
        <w:t>, the cell identification and measurement period requirements apply based on the longer delay before or after the transition</w:t>
      </w:r>
      <w:bookmarkEnd w:id="16"/>
      <w:r>
        <w:rPr>
          <w:rFonts w:cs="Arial"/>
          <w:lang w:val="en-US" w:eastAsia="zh-CN"/>
        </w:rPr>
        <w:t>.</w:t>
      </w:r>
    </w:p>
    <w:p w14:paraId="5B051FE8" w14:textId="77777777" w:rsidR="002F00FA" w:rsidRDefault="002F00FA" w:rsidP="002F00FA">
      <w:pPr>
        <w:pStyle w:val="CRCoverPage"/>
        <w:spacing w:after="0"/>
        <w:rPr>
          <w:rFonts w:cs="Arial"/>
          <w:lang w:val="en-US" w:eastAsia="zh-CN"/>
        </w:rPr>
      </w:pPr>
    </w:p>
    <w:p w14:paraId="6EA5EBD5" w14:textId="3B825E73" w:rsidR="002F00FA" w:rsidRDefault="002F00FA" w:rsidP="002F00FA">
      <w:pPr>
        <w:pStyle w:val="CRCoverPage"/>
        <w:spacing w:after="0"/>
        <w:rPr>
          <w:rFonts w:cs="Arial"/>
          <w:lang w:val="en-US"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6B63F9A" wp14:editId="18381B77">
                <wp:simplePos x="0" y="0"/>
                <wp:positionH relativeFrom="column">
                  <wp:posOffset>190500</wp:posOffset>
                </wp:positionH>
                <wp:positionV relativeFrom="paragraph">
                  <wp:posOffset>182880</wp:posOffset>
                </wp:positionV>
                <wp:extent cx="6309360" cy="5469255"/>
                <wp:effectExtent l="0" t="0" r="15240" b="1270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9360" cy="525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8025DE" w14:textId="77777777" w:rsidR="002F00FA" w:rsidRDefault="002F00FA" w:rsidP="002F00FA">
                            <w:pPr>
                              <w:pStyle w:val="Heading3"/>
                              <w:rPr>
                                <w:lang w:eastAsia="en-GB"/>
                              </w:rPr>
                            </w:pPr>
                            <w:r>
                              <w:t>9.1.6</w:t>
                            </w:r>
                            <w:r>
                              <w:tab/>
                              <w:t>Minimum requirement at transitions</w:t>
                            </w:r>
                          </w:p>
                          <w:p w14:paraId="2239AA64" w14:textId="77777777" w:rsidR="002F00FA" w:rsidRDefault="002F00FA" w:rsidP="002F00FA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 xml:space="preserve">When the measurement on one intra-frequency measurement object transitions from measurements performed outside gaps to measurements performed within gaps or vice versa during one measurement period, </w:t>
                            </w:r>
                            <w:r w:rsidRPr="002F00FA">
                              <w:rPr>
                                <w:highlight w:val="cyan"/>
                                <w:lang w:eastAsia="ko-KR"/>
                              </w:rPr>
                              <w:t>the cell identification and measurement period requirements with the longer delay apply.</w:t>
                            </w:r>
                          </w:p>
                          <w:p w14:paraId="194A71CE" w14:textId="77777777" w:rsidR="002F00FA" w:rsidRDefault="002F00FA" w:rsidP="002F00FA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 xml:space="preserve">When the measurement on one intra-frequency measurement object transitions from measurements performed outside gaps to measurements performed within NCSG or vice versa during one measurement period, </w:t>
                            </w:r>
                            <w:r w:rsidRPr="002F00FA">
                              <w:rPr>
                                <w:highlight w:val="cyan"/>
                                <w:lang w:eastAsia="ko-KR"/>
                              </w:rPr>
                              <w:t>the cell identification and measurement period requirements with the longer delay apply.</w:t>
                            </w:r>
                          </w:p>
                          <w:p w14:paraId="57FCBD82" w14:textId="77777777" w:rsidR="002F00FA" w:rsidRDefault="002F00FA" w:rsidP="002F00FA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 xml:space="preserve">The carrier-specific scaling factor specified in clause 9.1.5 that applies to the other impacted measurement objects will </w:t>
                            </w:r>
                            <w:r w:rsidRPr="002F00FA">
                              <w:rPr>
                                <w:highlight w:val="cyan"/>
                                <w:lang w:eastAsia="ko-KR"/>
                              </w:rPr>
                              <w:t>also apply based on the longer measurement or cell identification delay before or after the transition.</w:t>
                            </w:r>
                          </w:p>
                          <w:p w14:paraId="15FEFD9E" w14:textId="77777777" w:rsidR="002F00FA" w:rsidRDefault="002F00FA" w:rsidP="002F00FA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t>When the UE transitions between DRX and non-DRX or when DRX cycle periodicity changes,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 w:rsidRPr="002F00FA">
                              <w:rPr>
                                <w:highlight w:val="cyan"/>
                                <w:lang w:eastAsia="ko-KR"/>
                              </w:rPr>
                              <w:t>the cell identification and measurement period requirements apply based on the longer delay before or after the transition.</w:t>
                            </w:r>
                          </w:p>
                          <w:p w14:paraId="7254649F" w14:textId="77777777" w:rsidR="002F00FA" w:rsidRDefault="002F00FA" w:rsidP="002F00FA">
                            <w:pPr>
                              <w:rPr>
                                <w:lang w:eastAsia="ko-KR"/>
                              </w:rPr>
                            </w:pPr>
                            <w:proofErr w:type="gramStart"/>
                            <w:r>
                              <w:rPr>
                                <w:lang w:eastAsia="ko-KR"/>
                              </w:rPr>
                              <w:t>Subsequent to</w:t>
                            </w:r>
                            <w:proofErr w:type="gramEnd"/>
                            <w:r>
                              <w:rPr>
                                <w:lang w:eastAsia="ko-KR"/>
                              </w:rPr>
                              <w:t xml:space="preserve"> this measurement period, the cell identification and measurement period requirements on each measurement object are corresponding to the second mode after transition.</w:t>
                            </w:r>
                          </w:p>
                          <w:p w14:paraId="2AA519E1" w14:textId="77777777" w:rsidR="002F00FA" w:rsidRDefault="002F00FA" w:rsidP="002F00FA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t xml:space="preserve">For UE supporting </w:t>
                            </w:r>
                            <w:r>
                              <w:rPr>
                                <w:i/>
                                <w:iCs/>
                              </w:rPr>
                              <w:t>ncd-SSB-BWP-Wor-r18</w:t>
                            </w:r>
                            <w:r>
                              <w:rPr>
                                <w:lang w:val="en-US" w:eastAsia="ko-KR"/>
                              </w:rPr>
                              <w:t xml:space="preserve">, </w:t>
                            </w:r>
                            <w:r>
                              <w:rPr>
                                <w:lang w:eastAsia="ko-KR"/>
                              </w:rPr>
                              <w:t xml:space="preserve">when the intra-frequency measurement transitions from measurements performed on CD-SSB to measurements performed on NCD-SSB or vice versa due to BWP switching </w:t>
                            </w:r>
                            <w:r>
                              <w:t xml:space="preserve">or SCG activation/deactivation </w:t>
                            </w:r>
                            <w:r>
                              <w:rPr>
                                <w:lang w:eastAsia="ko-KR"/>
                              </w:rPr>
                              <w:t xml:space="preserve">during one cell identification period or measurement period, </w:t>
                            </w:r>
                            <w:r>
                              <w:t xml:space="preserve">the UE shall use a </w:t>
                            </w:r>
                            <w:r>
                              <w:rPr>
                                <w:lang w:eastAsia="ko-KR"/>
                              </w:rPr>
                              <w:t>cell identification</w:t>
                            </w:r>
                            <w:r>
                              <w:t xml:space="preserve"> period that is the maximum of the </w:t>
                            </w:r>
                            <w:r>
                              <w:rPr>
                                <w:lang w:eastAsia="ko-KR"/>
                              </w:rPr>
                              <w:t>cell identification</w:t>
                            </w:r>
                            <w:r>
                              <w:t xml:space="preserve"> periods or measurement periods corresponding to the first SSB type and the second SSB type after the BWP switching or SCG activation/deactivation</w:t>
                            </w:r>
                            <w:r>
                              <w:rPr>
                                <w:lang w:eastAsia="ko-KR"/>
                              </w:rPr>
                              <w:t>.</w:t>
                            </w:r>
                          </w:p>
                          <w:p w14:paraId="7FDFA88B" w14:textId="4AB78D51" w:rsidR="002F00FA" w:rsidRPr="002F00FA" w:rsidRDefault="002F00FA" w:rsidP="002F00FA">
                            <w:pPr>
                              <w:rPr>
                                <w:lang w:eastAsia="ko-KR"/>
                              </w:rPr>
                            </w:pPr>
                            <w:proofErr w:type="gramStart"/>
                            <w:r>
                              <w:rPr>
                                <w:lang w:eastAsia="ko-KR"/>
                              </w:rPr>
                              <w:t>Subsequent to</w:t>
                            </w:r>
                            <w:proofErr w:type="gramEnd"/>
                            <w:r>
                              <w:rPr>
                                <w:lang w:eastAsia="ko-KR"/>
                              </w:rPr>
                              <w:t xml:space="preserve"> the above-mentioned measurement periods and/or cell identification periods, the cell identification and measurement period requirements on each measurement object are based on the SSB type after the BWP switch or SCG activation/deactivation.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B63F9A" id="Text Box 1" o:spid="_x0000_s1027" type="#_x0000_t202" style="position:absolute;margin-left:15pt;margin-top:14.4pt;width:496.8pt;height:430.6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">
                <v:textbox style="mso-fit-shape-to-text:t">
                  <w:txbxContent>
                    <w:p w14:paraId="6F8025DE" w14:textId="77777777" w:rsidR="002F00FA" w:rsidRDefault="002F00FA" w:rsidP="002F00FA">
                      <w:pPr>
                        <w:pStyle w:val="Heading3"/>
                        <w:rPr>
                          <w:lang w:eastAsia="en-GB"/>
                        </w:rPr>
                      </w:pPr>
                      <w:r>
                        <w:t>9.1.6</w:t>
                      </w:r>
                      <w:r>
                        <w:tab/>
                        <w:t>Minimum requirement at transitions</w:t>
                      </w:r>
                    </w:p>
                    <w:p w14:paraId="2239AA64" w14:textId="77777777" w:rsidR="002F00FA" w:rsidRDefault="002F00FA" w:rsidP="002F00FA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 xml:space="preserve">When the measurement on one intra-frequency measurement object transitions from measurements performed outside gaps to measurements performed within gaps or vice versa during one measurement period, </w:t>
                      </w:r>
                      <w:r w:rsidRPr="002F00FA">
                        <w:rPr>
                          <w:highlight w:val="cyan"/>
                          <w:lang w:eastAsia="ko-KR"/>
                        </w:rPr>
                        <w:t>the cell identification and measurement period requirements with the longer delay apply.</w:t>
                      </w:r>
                    </w:p>
                    <w:p w14:paraId="194A71CE" w14:textId="77777777" w:rsidR="002F00FA" w:rsidRDefault="002F00FA" w:rsidP="002F00FA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 xml:space="preserve">When the measurement on one intra-frequency measurement object transitions from measurements performed outside gaps to measurements performed within NCSG or vice versa during one measurement period, </w:t>
                      </w:r>
                      <w:r w:rsidRPr="002F00FA">
                        <w:rPr>
                          <w:highlight w:val="cyan"/>
                          <w:lang w:eastAsia="ko-KR"/>
                        </w:rPr>
                        <w:t>the cell identification and measurement period requirements with the longer delay apply.</w:t>
                      </w:r>
                    </w:p>
                    <w:p w14:paraId="57FCBD82" w14:textId="77777777" w:rsidR="002F00FA" w:rsidRDefault="002F00FA" w:rsidP="002F00FA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 xml:space="preserve">The carrier-specific scaling factor specified in clause 9.1.5 that applies to the other impacted measurement objects will </w:t>
                      </w:r>
                      <w:r w:rsidRPr="002F00FA">
                        <w:rPr>
                          <w:highlight w:val="cyan"/>
                          <w:lang w:eastAsia="ko-KR"/>
                        </w:rPr>
                        <w:t>also apply based on the longer measurement or cell identification delay before or after the transition.</w:t>
                      </w:r>
                    </w:p>
                    <w:p w14:paraId="15FEFD9E" w14:textId="77777777" w:rsidR="002F00FA" w:rsidRDefault="002F00FA" w:rsidP="002F00FA">
                      <w:pPr>
                        <w:rPr>
                          <w:lang w:eastAsia="ko-KR"/>
                        </w:rPr>
                      </w:pPr>
                      <w:r>
                        <w:t>When the UE transitions between DRX and non-DRX or when DRX cycle periodicity changes,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 w:rsidRPr="002F00FA">
                        <w:rPr>
                          <w:highlight w:val="cyan"/>
                          <w:lang w:eastAsia="ko-KR"/>
                        </w:rPr>
                        <w:t>the cell identification and measurement period requirements apply based on the longer delay before or after the transition.</w:t>
                      </w:r>
                    </w:p>
                    <w:p w14:paraId="7254649F" w14:textId="77777777" w:rsidR="002F00FA" w:rsidRDefault="002F00FA" w:rsidP="002F00FA">
                      <w:pPr>
                        <w:rPr>
                          <w:lang w:eastAsia="ko-KR"/>
                        </w:rPr>
                      </w:pPr>
                      <w:proofErr w:type="gramStart"/>
                      <w:r>
                        <w:rPr>
                          <w:lang w:eastAsia="ko-KR"/>
                        </w:rPr>
                        <w:t>Subsequent to</w:t>
                      </w:r>
                      <w:proofErr w:type="gramEnd"/>
                      <w:r>
                        <w:rPr>
                          <w:lang w:eastAsia="ko-KR"/>
                        </w:rPr>
                        <w:t xml:space="preserve"> this measurement period, the cell identification and measurement period requirements on each measurement object are corresponding to the second mode after transition.</w:t>
                      </w:r>
                    </w:p>
                    <w:p w14:paraId="2AA519E1" w14:textId="77777777" w:rsidR="002F00FA" w:rsidRDefault="002F00FA" w:rsidP="002F00FA">
                      <w:pPr>
                        <w:rPr>
                          <w:lang w:eastAsia="ko-KR"/>
                        </w:rPr>
                      </w:pPr>
                      <w:r>
                        <w:t xml:space="preserve">For UE supporting </w:t>
                      </w:r>
                      <w:r>
                        <w:rPr>
                          <w:i/>
                          <w:iCs/>
                        </w:rPr>
                        <w:t>ncd-SSB-BWP-Wor-r18</w:t>
                      </w:r>
                      <w:r>
                        <w:rPr>
                          <w:lang w:val="en-US" w:eastAsia="ko-KR"/>
                        </w:rPr>
                        <w:t xml:space="preserve">, </w:t>
                      </w:r>
                      <w:r>
                        <w:rPr>
                          <w:lang w:eastAsia="ko-KR"/>
                        </w:rPr>
                        <w:t xml:space="preserve">when the intra-frequency measurement transitions from measurements performed on CD-SSB to measurements performed on NCD-SSB or vice versa due to BWP switching </w:t>
                      </w:r>
                      <w:r>
                        <w:t xml:space="preserve">or SCG activation/deactivation </w:t>
                      </w:r>
                      <w:r>
                        <w:rPr>
                          <w:lang w:eastAsia="ko-KR"/>
                        </w:rPr>
                        <w:t xml:space="preserve">during one cell identification period or measurement period, </w:t>
                      </w:r>
                      <w:r>
                        <w:t xml:space="preserve">the UE shall use a </w:t>
                      </w:r>
                      <w:r>
                        <w:rPr>
                          <w:lang w:eastAsia="ko-KR"/>
                        </w:rPr>
                        <w:t>cell identification</w:t>
                      </w:r>
                      <w:r>
                        <w:t xml:space="preserve"> period that is the maximum of the </w:t>
                      </w:r>
                      <w:r>
                        <w:rPr>
                          <w:lang w:eastAsia="ko-KR"/>
                        </w:rPr>
                        <w:t>cell identification</w:t>
                      </w:r>
                      <w:r>
                        <w:t xml:space="preserve"> periods or measurement periods corresponding to the first SSB type and the second SSB type after the BWP switching or SCG activation/deactivation</w:t>
                      </w:r>
                      <w:r>
                        <w:rPr>
                          <w:lang w:eastAsia="ko-KR"/>
                        </w:rPr>
                        <w:t>.</w:t>
                      </w:r>
                    </w:p>
                    <w:p w14:paraId="7FDFA88B" w14:textId="4AB78D51" w:rsidR="002F00FA" w:rsidRPr="002F00FA" w:rsidRDefault="002F00FA" w:rsidP="002F00FA">
                      <w:pPr>
                        <w:rPr>
                          <w:lang w:eastAsia="ko-KR"/>
                        </w:rPr>
                      </w:pPr>
                      <w:proofErr w:type="gramStart"/>
                      <w:r>
                        <w:rPr>
                          <w:lang w:eastAsia="ko-KR"/>
                        </w:rPr>
                        <w:t>Subsequent to</w:t>
                      </w:r>
                      <w:proofErr w:type="gramEnd"/>
                      <w:r>
                        <w:rPr>
                          <w:lang w:eastAsia="ko-KR"/>
                        </w:rPr>
                        <w:t xml:space="preserve"> the above-mentioned measurement periods and/or cell identification periods, the cell identification and measurement period requirements on each measurement object are based on the SSB type after the BWP switch or SCG activation/deactivation.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085C2B" w14:textId="77777777" w:rsidR="00164A1D" w:rsidRDefault="00164A1D" w:rsidP="00164A1D">
      <w:pPr>
        <w:pStyle w:val="CRCoverPage"/>
        <w:spacing w:after="0"/>
        <w:jc w:val="both"/>
        <w:rPr>
          <w:rFonts w:cs="Arial"/>
          <w:lang w:val="en-US" w:eastAsia="zh-CN"/>
        </w:rPr>
      </w:pPr>
    </w:p>
    <w:p w14:paraId="41C49CF0" w14:textId="481D3183" w:rsidR="00164A1D" w:rsidRDefault="00164A1D" w:rsidP="00164A1D">
      <w:pPr>
        <w:pStyle w:val="CRCoverPage"/>
        <w:spacing w:after="0"/>
        <w:rPr>
          <w:rFonts w:cs="Arial"/>
          <w:lang w:val="en-US" w:eastAsia="zh-CN"/>
        </w:rPr>
      </w:pPr>
      <w:bookmarkStart w:id="17" w:name="OLE_LINK86"/>
      <w:r>
        <w:rPr>
          <w:rFonts w:cs="Arial"/>
          <w:lang w:val="en-US" w:eastAsia="zh-CN"/>
        </w:rPr>
        <w:t>Besides, for L3 measurements</w:t>
      </w:r>
      <w:bookmarkStart w:id="18" w:name="OLE_LINK87"/>
      <w:r>
        <w:rPr>
          <w:rFonts w:cs="Arial"/>
          <w:lang w:val="en-US" w:eastAsia="zh-CN"/>
        </w:rPr>
        <w:t xml:space="preserve">, which is performed based on MO and SMTCs, </w:t>
      </w:r>
      <w:bookmarkEnd w:id="17"/>
      <w:bookmarkEnd w:id="18"/>
      <w:r>
        <w:rPr>
          <w:rFonts w:cs="Arial"/>
          <w:lang w:val="en-US" w:eastAsia="zh-CN"/>
        </w:rPr>
        <w:t xml:space="preserve">therefore it is probable that the MO and SMTC will be reconfigured accordingly, and it appears not necessary to define new requirements </w:t>
      </w:r>
      <w:r w:rsidR="008B6956">
        <w:rPr>
          <w:rFonts w:cs="Arial"/>
          <w:lang w:val="en-US" w:eastAsia="zh-CN"/>
        </w:rPr>
        <w:t>if</w:t>
      </w:r>
      <w:r>
        <w:rPr>
          <w:rFonts w:cs="Arial"/>
          <w:lang w:val="en-US" w:eastAsia="zh-CN"/>
        </w:rPr>
        <w:t xml:space="preserve"> it has been reconfigured. </w:t>
      </w:r>
    </w:p>
    <w:p w14:paraId="2EC56952" w14:textId="77777777" w:rsidR="00164A1D" w:rsidRDefault="00164A1D" w:rsidP="00164A1D">
      <w:pPr>
        <w:pStyle w:val="CRCoverPage"/>
        <w:spacing w:after="0"/>
        <w:rPr>
          <w:rFonts w:cs="Arial"/>
          <w:lang w:val="en-US" w:eastAsia="zh-CN"/>
        </w:rPr>
      </w:pPr>
    </w:p>
    <w:p w14:paraId="6666493A" w14:textId="0241C147" w:rsidR="00164A1D" w:rsidRDefault="00164A1D" w:rsidP="00164A1D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19" w:name="OLE_LINK14"/>
      <w:bookmarkStart w:id="20" w:name="_Ref179234219"/>
      <w:bookmarkStart w:id="21" w:name="_Ref179234636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>
        <w:fldChar w:fldCharType="separate"/>
      </w:r>
      <w:r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1</w:t>
      </w:r>
      <w:r>
        <w:fldChar w:fldCharType="end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bookmarkEnd w:id="19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When the UE transitions when SSB periodicity changes, the L1/L3 measurement requirements apply based on the longer delay before or after the transition</w:t>
      </w:r>
      <w:bookmarkEnd w:id="20"/>
      <w:r w:rsidR="008B6956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.</w:t>
      </w:r>
      <w:bookmarkEnd w:id="21"/>
      <w:r w:rsidR="008B6956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</w:t>
      </w:r>
    </w:p>
    <w:bookmarkEnd w:id="4"/>
    <w:p w14:paraId="00CB7507" w14:textId="1BFD4495" w:rsidR="00F273DC" w:rsidRDefault="00F273DC" w:rsidP="00F273DC">
      <w:pPr>
        <w:pStyle w:val="Heading1"/>
        <w:ind w:left="0" w:firstLine="0"/>
        <w:rPr>
          <w:lang w:val="en-US"/>
        </w:rPr>
      </w:pPr>
      <w:r>
        <w:rPr>
          <w:lang w:val="en-US" w:eastAsia="zh-CN"/>
        </w:rPr>
        <w:t>Conclusion</w:t>
      </w:r>
    </w:p>
    <w:bookmarkStart w:id="22" w:name="OLE_LINK2"/>
    <w:p w14:paraId="0469538C" w14:textId="00C96530" w:rsidR="008B6956" w:rsidRPr="008B6956" w:rsidRDefault="008B6956" w:rsidP="00652145">
      <w:pPr>
        <w:rPr>
          <w:rFonts w:ascii="Arial" w:hAnsi="Arial"/>
          <w:b/>
          <w:bCs/>
          <w:lang w:val="en-US" w:eastAsia="zh-CN"/>
        </w:rPr>
      </w:pPr>
      <w:r w:rsidRPr="008B6956">
        <w:rPr>
          <w:rFonts w:ascii="Arial" w:hAnsi="Arial"/>
          <w:b/>
          <w:bCs/>
          <w:lang w:val="en-US" w:eastAsia="zh-CN"/>
        </w:rPr>
        <w:fldChar w:fldCharType="begin"/>
      </w:r>
      <w:r w:rsidRPr="008B6956">
        <w:rPr>
          <w:rFonts w:ascii="Arial" w:hAnsi="Arial"/>
          <w:b/>
          <w:bCs/>
          <w:lang w:val="en-US" w:eastAsia="zh-CN"/>
        </w:rPr>
        <w:instrText xml:space="preserve"> REF _Ref179234636 \h  \* MERGEFORMAT </w:instrText>
      </w:r>
      <w:r w:rsidRPr="008B6956">
        <w:rPr>
          <w:rFonts w:ascii="Arial" w:hAnsi="Arial"/>
          <w:b/>
          <w:bCs/>
          <w:lang w:val="en-US" w:eastAsia="zh-CN"/>
        </w:rPr>
      </w:r>
      <w:r w:rsidRPr="008B6956">
        <w:rPr>
          <w:rFonts w:ascii="Arial" w:hAnsi="Arial"/>
          <w:b/>
          <w:bCs/>
          <w:lang w:val="en-US" w:eastAsia="zh-CN"/>
        </w:rPr>
        <w:fldChar w:fldCharType="separate"/>
      </w:r>
      <w:r w:rsidRPr="008B6956">
        <w:rPr>
          <w:rFonts w:ascii="Arial" w:hAnsi="Arial"/>
          <w:b/>
          <w:bCs/>
          <w:lang w:val="en-US" w:eastAsia="zh-CN"/>
        </w:rPr>
        <w:t xml:space="preserve">Proposal </w:t>
      </w:r>
      <w:r w:rsidRPr="008B6956">
        <w:rPr>
          <w:rFonts w:ascii="Arial" w:hAnsi="Arial"/>
          <w:b/>
          <w:bCs/>
          <w:noProof/>
          <w:lang w:val="en-US" w:eastAsia="zh-CN"/>
        </w:rPr>
        <w:t>1</w:t>
      </w:r>
      <w:r w:rsidRPr="008B6956">
        <w:rPr>
          <w:rFonts w:ascii="Arial" w:hAnsi="Arial"/>
          <w:b/>
          <w:bCs/>
          <w:lang w:val="en-US" w:eastAsia="zh-CN"/>
        </w:rPr>
        <w:t>: When the UE transitions when SSB periodicity changes, the L1/L3 measurement requirements apply based on the longer delay before or after the transition.</w:t>
      </w:r>
      <w:r w:rsidRPr="008B6956">
        <w:rPr>
          <w:rFonts w:ascii="Arial" w:hAnsi="Arial"/>
          <w:b/>
          <w:bCs/>
          <w:lang w:val="en-US" w:eastAsia="zh-CN"/>
        </w:rPr>
        <w:fldChar w:fldCharType="end"/>
      </w:r>
    </w:p>
    <w:bookmarkEnd w:id="22"/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lastRenderedPageBreak/>
        <w:t>References</w:t>
      </w:r>
    </w:p>
    <w:p w14:paraId="0C10BC7B" w14:textId="320CE63E" w:rsidR="00F273DC" w:rsidRDefault="00A17868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23" w:name="OLE_LINK1"/>
      <w:r w:rsidRPr="00A17868">
        <w:rPr>
          <w:rFonts w:ascii="Arial" w:hAnsi="Arial" w:cs="Arial"/>
          <w:szCs w:val="15"/>
          <w:lang w:val="en-US" w:eastAsia="zh-CN"/>
        </w:rPr>
        <w:t>RP-241650</w:t>
      </w:r>
      <w:r w:rsidR="00F273DC" w:rsidRPr="00A17868">
        <w:rPr>
          <w:rFonts w:ascii="Arial" w:hAnsi="Arial" w:cs="Arial"/>
          <w:szCs w:val="15"/>
          <w:lang w:val="en-US" w:eastAsia="zh-CN"/>
        </w:rPr>
        <w:t>,</w:t>
      </w:r>
      <w:r w:rsidR="00F273DC" w:rsidRPr="00A1786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bookmarkEnd w:id="23"/>
      <w:r w:rsidRPr="00A17868">
        <w:rPr>
          <w:rFonts w:ascii="Arial" w:hAnsi="Arial" w:cs="Arial"/>
          <w:szCs w:val="15"/>
          <w:lang w:val="en-US" w:eastAsia="zh-CN"/>
        </w:rPr>
        <w:t>Revised WID: Enhancements of network energy savings for NR</w:t>
      </w:r>
    </w:p>
    <w:p w14:paraId="16364419" w14:textId="45306577" w:rsidR="00A557ED" w:rsidRDefault="00A557ED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r w:rsidRPr="00A557ED">
        <w:rPr>
          <w:rFonts w:ascii="Arial" w:hAnsi="Arial" w:cs="Arial"/>
          <w:szCs w:val="15"/>
          <w:lang w:val="en-US" w:eastAsia="zh-CN"/>
        </w:rPr>
        <w:t>Chair notes RAN1_117 eom1</w:t>
      </w:r>
    </w:p>
    <w:p w14:paraId="1D5282B2" w14:textId="32E1675B" w:rsidR="00392C51" w:rsidRPr="00392C51" w:rsidRDefault="00392C51" w:rsidP="00392C51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r>
        <w:rPr>
          <w:rFonts w:ascii="Arial" w:hAnsi="Arial" w:cs="Arial"/>
          <w:szCs w:val="15"/>
          <w:lang w:val="en-US" w:eastAsia="zh-CN"/>
        </w:rPr>
        <w:t xml:space="preserve">R4-2413885, WF on </w:t>
      </w:r>
      <w:proofErr w:type="spellStart"/>
      <w:r>
        <w:rPr>
          <w:rFonts w:ascii="Arial" w:hAnsi="Arial" w:cs="Arial"/>
          <w:szCs w:val="15"/>
          <w:lang w:val="en-US" w:eastAsia="zh-CN"/>
        </w:rPr>
        <w:t>Netw_Energy_NR_enh</w:t>
      </w:r>
      <w:proofErr w:type="spellEnd"/>
      <w:r>
        <w:rPr>
          <w:rFonts w:ascii="Arial" w:hAnsi="Arial" w:cs="Arial"/>
          <w:szCs w:val="15"/>
          <w:lang w:val="en-US" w:eastAsia="zh-CN"/>
        </w:rPr>
        <w:t xml:space="preserve">, Ericsson, Aug. 2024. </w:t>
      </w:r>
    </w:p>
    <w:p w14:paraId="214B2DEA" w14:textId="13AA6622" w:rsidR="009A2029" w:rsidRPr="00A17868" w:rsidRDefault="00F2389C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24" w:name="_Ref179234535"/>
      <w:bookmarkStart w:id="25" w:name="OLE_LINK17"/>
      <w:r w:rsidRPr="00F2389C">
        <w:rPr>
          <w:rFonts w:ascii="Arial" w:hAnsi="Arial" w:cs="Arial"/>
          <w:szCs w:val="15"/>
          <w:lang w:val="en-US" w:eastAsia="zh-CN"/>
        </w:rPr>
        <w:t>R4-2416860</w:t>
      </w:r>
      <w:r>
        <w:rPr>
          <w:rFonts w:ascii="Arial" w:hAnsi="Arial" w:cs="Arial"/>
          <w:szCs w:val="15"/>
          <w:lang w:val="en-US" w:eastAsia="zh-CN"/>
        </w:rPr>
        <w:t xml:space="preserve">, </w:t>
      </w:r>
      <w:r w:rsidRPr="00F2389C">
        <w:rPr>
          <w:rFonts w:ascii="Arial" w:hAnsi="Arial" w:cs="Arial"/>
          <w:szCs w:val="15"/>
          <w:lang w:val="en-US" w:eastAsia="zh-CN"/>
        </w:rPr>
        <w:t>WF on RRM requirements for Netw_Energy_NR_enh_Part2</w:t>
      </w:r>
      <w:r w:rsidR="009A2029" w:rsidRPr="009A2029">
        <w:rPr>
          <w:rFonts w:ascii="Arial" w:hAnsi="Arial" w:cs="Arial"/>
          <w:szCs w:val="15"/>
          <w:lang w:val="en-US" w:eastAsia="zh-CN"/>
        </w:rPr>
        <w:t xml:space="preserve">, </w:t>
      </w:r>
      <w:r>
        <w:rPr>
          <w:rFonts w:ascii="Arial" w:hAnsi="Arial" w:cs="Arial"/>
          <w:szCs w:val="15"/>
          <w:lang w:val="en-US" w:eastAsia="zh-CN"/>
        </w:rPr>
        <w:t>Huawei</w:t>
      </w:r>
      <w:r w:rsidR="009A2029">
        <w:rPr>
          <w:rFonts w:ascii="Arial" w:hAnsi="Arial" w:cs="Arial"/>
          <w:szCs w:val="15"/>
          <w:lang w:val="en-US" w:eastAsia="zh-CN"/>
        </w:rPr>
        <w:t xml:space="preserve">, </w:t>
      </w:r>
      <w:r>
        <w:rPr>
          <w:rFonts w:ascii="Arial" w:hAnsi="Arial" w:cs="Arial"/>
          <w:szCs w:val="15"/>
          <w:lang w:val="en-US" w:eastAsia="zh-CN"/>
        </w:rPr>
        <w:t>Oct</w:t>
      </w:r>
      <w:r w:rsidR="009A2029">
        <w:rPr>
          <w:rFonts w:ascii="Arial" w:hAnsi="Arial" w:cs="Arial"/>
          <w:szCs w:val="15"/>
          <w:lang w:val="en-US" w:eastAsia="zh-CN"/>
        </w:rPr>
        <w:t>. 2024.</w:t>
      </w:r>
      <w:bookmarkEnd w:id="24"/>
      <w:r w:rsidR="009A2029">
        <w:rPr>
          <w:rFonts w:ascii="Arial" w:hAnsi="Arial" w:cs="Arial"/>
          <w:szCs w:val="15"/>
          <w:lang w:val="en-US" w:eastAsia="zh-CN"/>
        </w:rPr>
        <w:t xml:space="preserve"> </w:t>
      </w:r>
    </w:p>
    <w:bookmarkEnd w:id="25"/>
    <w:p w14:paraId="6A3BA858" w14:textId="77777777" w:rsidR="003B1ADC" w:rsidRDefault="003B1ADC"/>
    <w:p w14:paraId="17B0C990" w14:textId="77777777" w:rsidR="00652145" w:rsidRDefault="00652145"/>
    <w:sectPr w:rsidR="00652145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046A2"/>
    <w:multiLevelType w:val="hybridMultilevel"/>
    <w:tmpl w:val="0BD07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B30FDF"/>
    <w:multiLevelType w:val="hybridMultilevel"/>
    <w:tmpl w:val="2D08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1"/>
  </w:num>
  <w:num w:numId="2" w16cid:durableId="1018774305">
    <w:abstractNumId w:val="9"/>
  </w:num>
  <w:num w:numId="3" w16cid:durableId="1435055627">
    <w:abstractNumId w:val="1"/>
  </w:num>
  <w:num w:numId="4" w16cid:durableId="1817647729">
    <w:abstractNumId w:val="6"/>
  </w:num>
  <w:num w:numId="5" w16cid:durableId="784814726">
    <w:abstractNumId w:val="12"/>
  </w:num>
  <w:num w:numId="6" w16cid:durableId="1282611932">
    <w:abstractNumId w:val="16"/>
  </w:num>
  <w:num w:numId="7" w16cid:durableId="1165783956">
    <w:abstractNumId w:val="0"/>
    <w:lvlOverride w:ilvl="0">
      <w:startOverride w:val="1"/>
    </w:lvlOverride>
  </w:num>
  <w:num w:numId="8" w16cid:durableId="832574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7"/>
  </w:num>
  <w:num w:numId="10" w16cid:durableId="1334214380">
    <w:abstractNumId w:val="7"/>
  </w:num>
  <w:num w:numId="11" w16cid:durableId="1842692879">
    <w:abstractNumId w:val="10"/>
  </w:num>
  <w:num w:numId="12" w16cid:durableId="1215656690">
    <w:abstractNumId w:val="17"/>
  </w:num>
  <w:num w:numId="13" w16cid:durableId="1941058980">
    <w:abstractNumId w:val="2"/>
  </w:num>
  <w:num w:numId="14" w16cid:durableId="558856799">
    <w:abstractNumId w:val="15"/>
  </w:num>
  <w:num w:numId="15" w16cid:durableId="1846556519">
    <w:abstractNumId w:val="2"/>
  </w:num>
  <w:num w:numId="16" w16cid:durableId="2001882629">
    <w:abstractNumId w:val="15"/>
  </w:num>
  <w:num w:numId="17" w16cid:durableId="1279794261">
    <w:abstractNumId w:val="3"/>
  </w:num>
  <w:num w:numId="18" w16cid:durableId="1524126576">
    <w:abstractNumId w:val="15"/>
  </w:num>
  <w:num w:numId="19" w16cid:durableId="740714596">
    <w:abstractNumId w:val="5"/>
  </w:num>
  <w:num w:numId="20" w16cid:durableId="1868443134">
    <w:abstractNumId w:val="5"/>
  </w:num>
  <w:num w:numId="21" w16cid:durableId="98424068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487669093">
    <w:abstractNumId w:val="8"/>
  </w:num>
  <w:num w:numId="23" w16cid:durableId="588848967">
    <w:abstractNumId w:val="4"/>
  </w:num>
  <w:num w:numId="24" w16cid:durableId="2005862206">
    <w:abstractNumId w:val="4"/>
  </w:num>
  <w:num w:numId="25" w16cid:durableId="1319577247">
    <w:abstractNumId w:val="14"/>
  </w:num>
  <w:num w:numId="26" w16cid:durableId="788814725">
    <w:abstractNumId w:val="13"/>
  </w:num>
  <w:num w:numId="27" w16cid:durableId="2014138732">
    <w:abstractNumId w:val="13"/>
  </w:num>
  <w:num w:numId="28" w16cid:durableId="1501847093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911ED"/>
    <w:rsid w:val="00117B0B"/>
    <w:rsid w:val="00164A1D"/>
    <w:rsid w:val="00197353"/>
    <w:rsid w:val="001F20DE"/>
    <w:rsid w:val="00276A3E"/>
    <w:rsid w:val="002C0E7B"/>
    <w:rsid w:val="002C12ED"/>
    <w:rsid w:val="002E4483"/>
    <w:rsid w:val="002F00FA"/>
    <w:rsid w:val="002F36AD"/>
    <w:rsid w:val="003049BC"/>
    <w:rsid w:val="003464A9"/>
    <w:rsid w:val="00351F1F"/>
    <w:rsid w:val="00365E67"/>
    <w:rsid w:val="00392C51"/>
    <w:rsid w:val="003B1ADC"/>
    <w:rsid w:val="003C2FBE"/>
    <w:rsid w:val="003F5820"/>
    <w:rsid w:val="004839DD"/>
    <w:rsid w:val="004E0188"/>
    <w:rsid w:val="00544547"/>
    <w:rsid w:val="005753A9"/>
    <w:rsid w:val="005C4CE9"/>
    <w:rsid w:val="005D4A07"/>
    <w:rsid w:val="00643B61"/>
    <w:rsid w:val="00644545"/>
    <w:rsid w:val="00652145"/>
    <w:rsid w:val="00665BDD"/>
    <w:rsid w:val="006857A1"/>
    <w:rsid w:val="0068608F"/>
    <w:rsid w:val="00692EEE"/>
    <w:rsid w:val="006E3991"/>
    <w:rsid w:val="007001DD"/>
    <w:rsid w:val="00780934"/>
    <w:rsid w:val="007A722F"/>
    <w:rsid w:val="007C184D"/>
    <w:rsid w:val="00802E82"/>
    <w:rsid w:val="00830E58"/>
    <w:rsid w:val="00862655"/>
    <w:rsid w:val="008B6956"/>
    <w:rsid w:val="008F676D"/>
    <w:rsid w:val="009127E9"/>
    <w:rsid w:val="00950978"/>
    <w:rsid w:val="009A2029"/>
    <w:rsid w:val="009A4D86"/>
    <w:rsid w:val="00A17868"/>
    <w:rsid w:val="00A5368C"/>
    <w:rsid w:val="00A557ED"/>
    <w:rsid w:val="00A74EE6"/>
    <w:rsid w:val="00AB05CA"/>
    <w:rsid w:val="00AB4FDC"/>
    <w:rsid w:val="00B334A2"/>
    <w:rsid w:val="00B601BA"/>
    <w:rsid w:val="00B622B2"/>
    <w:rsid w:val="00B7081A"/>
    <w:rsid w:val="00C221EC"/>
    <w:rsid w:val="00C23D05"/>
    <w:rsid w:val="00C80E42"/>
    <w:rsid w:val="00CF687D"/>
    <w:rsid w:val="00DE389D"/>
    <w:rsid w:val="00E34F2C"/>
    <w:rsid w:val="00E81CC3"/>
    <w:rsid w:val="00ED3FE4"/>
    <w:rsid w:val="00EF6EE5"/>
    <w:rsid w:val="00F2389C"/>
    <w:rsid w:val="00F273DC"/>
    <w:rsid w:val="00F30A55"/>
    <w:rsid w:val="00F64587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リスト段落,列出段落1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4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75</cp:revision>
  <dcterms:created xsi:type="dcterms:W3CDTF">2024-08-05T03:11:00Z</dcterms:created>
  <dcterms:modified xsi:type="dcterms:W3CDTF">2024-11-07T03:49:00Z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